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654B86" w:rsidRDefault="00654B86" w:rsidP="00654B86">
      <w:pPr>
        <w:pStyle w:val="Header"/>
        <w:pBdr>
          <w:bottom w:val="single" w:sz="6" w:space="1" w:color="auto"/>
        </w:pBdr>
        <w:jc w:val="end"/>
        <w:rPr>
          <w:rFonts w:ascii="Bookman Old Style" w:hAnsi="Bookman Old Style"/>
          <w:b/>
          <w:sz w:val="20"/>
          <w:szCs w:val="20"/>
          <w:lang w:val="en-US"/>
        </w:rPr>
      </w:pPr>
      <w:r>
        <w:rPr>
          <w:rFonts w:ascii="Bookman Old Style" w:hAnsi="Bookman Old Style"/>
          <w:noProof/>
          <w:sz w:val="20"/>
          <w:szCs w:val="20"/>
          <w:lang w:val="en-GB" w:eastAsia="en-GB"/>
        </w:rPr>
        <w:t>KEFRI/F/ICT/07</w:t>
      </w:r>
    </w:p>
    <w:p w:rsidR="00654B86" w:rsidRPr="006E7F29" w:rsidRDefault="00654B86" w:rsidP="00654B86">
      <w:pPr>
        <w:pStyle w:val="Header"/>
        <w:pBdr>
          <w:bottom w:val="single" w:sz="6" w:space="1" w:color="auto"/>
        </w:pBdr>
        <w:jc w:val="center"/>
        <w:rPr>
          <w:rFonts w:ascii="Bookman Old Style" w:eastAsia="Calibri" w:hAnsi="Bookman Old Style"/>
          <w:sz w:val="20"/>
          <w:szCs w:val="20"/>
        </w:rPr>
      </w:pPr>
      <w:r w:rsidRPr="006E7F29">
        <w:rPr>
          <w:rFonts w:ascii="Bookman Old Style" w:eastAsia="Calibri" w:hAnsi="Bookman Old Style"/>
          <w:noProof/>
          <w:sz w:val="20"/>
          <w:szCs w:val="20"/>
          <w:lang w:val="en-US" w:eastAsia="en-US"/>
        </w:rPr>
        <w:drawing>
          <wp:inline distT="0" distB="0" distL="0" distR="0">
            <wp:extent cx="609600" cy="609600"/>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654B86" w:rsidRPr="006E7F29" w:rsidRDefault="00654B86" w:rsidP="00654B86">
      <w:pPr>
        <w:pBdr>
          <w:bottom w:val="single" w:sz="6" w:space="1" w:color="auto"/>
        </w:pBdr>
        <w:tabs>
          <w:tab w:val="center" w:pos="234pt"/>
          <w:tab w:val="end" w:pos="468pt"/>
        </w:tabs>
        <w:spacing w:after="0pt"/>
        <w:jc w:val="center"/>
        <w:rPr>
          <w:rFonts w:ascii="Bookman Old Style" w:eastAsia="Calibri" w:hAnsi="Bookman Old Style"/>
          <w:b/>
          <w:sz w:val="20"/>
          <w:szCs w:val="20"/>
        </w:rPr>
      </w:pPr>
      <w:r w:rsidRPr="006E7F29">
        <w:rPr>
          <w:rFonts w:ascii="Bookman Old Style" w:eastAsia="Calibri" w:hAnsi="Bookman Old Style"/>
          <w:b/>
          <w:sz w:val="20"/>
          <w:szCs w:val="20"/>
        </w:rPr>
        <w:t>ICT Response-time commitment grids</w:t>
      </w:r>
    </w:p>
    <w:p w:rsidR="00654B86" w:rsidRPr="006E7F29" w:rsidRDefault="00654B86" w:rsidP="00654B86">
      <w:pPr>
        <w:spacing w:after="0pt"/>
        <w:jc w:val="both"/>
        <w:rPr>
          <w:rFonts w:ascii="Bookman Old Style" w:eastAsia="Calibri" w:hAnsi="Bookman Old Style"/>
          <w:sz w:val="20"/>
          <w:szCs w:val="20"/>
        </w:rPr>
      </w:pPr>
    </w:p>
    <w:p w:rsidR="00654B86" w:rsidRPr="006E7F29" w:rsidRDefault="00654B86" w:rsidP="00654B86">
      <w:pPr>
        <w:rPr>
          <w:rFonts w:ascii="Bookman Old Style" w:hAnsi="Bookman Old Style"/>
          <w:b/>
          <w:sz w:val="20"/>
          <w:szCs w:val="20"/>
          <w:lang w:val="en-AU"/>
        </w:rPr>
      </w:pPr>
      <w:bookmarkStart w:id="0" w:name="_Toc501372060"/>
      <w:r w:rsidRPr="006E7F29">
        <w:rPr>
          <w:rFonts w:ascii="Bookman Old Style" w:hAnsi="Bookman Old Style"/>
          <w:b/>
          <w:sz w:val="20"/>
          <w:szCs w:val="20"/>
          <w:lang w:val="en-AU"/>
        </w:rPr>
        <w:t>1.0 Response Times</w:t>
      </w:r>
      <w:bookmarkEnd w:id="0"/>
    </w:p>
    <w:p w:rsidR="00654B86" w:rsidRPr="006E7F29" w:rsidRDefault="00654B86" w:rsidP="00654B86">
      <w:pPr>
        <w:rPr>
          <w:rFonts w:ascii="Bookman Old Style" w:hAnsi="Bookman Old Style"/>
          <w:sz w:val="20"/>
          <w:szCs w:val="20"/>
          <w:lang w:val="en-AU"/>
        </w:rPr>
      </w:pPr>
      <w:r w:rsidRPr="006E7F29">
        <w:rPr>
          <w:rFonts w:ascii="Bookman Old Style" w:hAnsi="Bookman Old Style"/>
          <w:sz w:val="20"/>
          <w:szCs w:val="20"/>
          <w:lang w:val="en-AU"/>
        </w:rPr>
        <w:t xml:space="preserve">Table 1.0 show the priority assigned to faults according to the perceived importance of the reported situation.  The priority assignment is to refer to the initial response to the client as per Section 2.0 of this document.  The support level refers to the </w:t>
      </w:r>
      <w:r w:rsidRPr="006E7F29">
        <w:rPr>
          <w:rFonts w:ascii="Bookman Old Style" w:hAnsi="Bookman Old Style"/>
          <w:i/>
          <w:sz w:val="20"/>
          <w:szCs w:val="20"/>
          <w:lang w:val="en-AU"/>
        </w:rPr>
        <w:t xml:space="preserve">client </w:t>
      </w:r>
      <w:r w:rsidRPr="006E7F29">
        <w:rPr>
          <w:rFonts w:ascii="Bookman Old Style" w:hAnsi="Bookman Old Style"/>
          <w:sz w:val="20"/>
          <w:szCs w:val="20"/>
          <w:lang w:val="en-AU"/>
        </w:rPr>
        <w:t>guide for support available as illustrated in Section 3.0 of this document.</w:t>
      </w:r>
    </w:p>
    <w:p w:rsidR="00654B86" w:rsidRPr="006E7F29" w:rsidRDefault="00654B86" w:rsidP="00654B86">
      <w:pPr>
        <w:rPr>
          <w:rFonts w:ascii="Bookman Old Style" w:hAnsi="Bookman Old Style"/>
          <w:b/>
          <w:sz w:val="20"/>
          <w:szCs w:val="20"/>
          <w:lang w:val="en-AU"/>
        </w:rPr>
      </w:pPr>
      <w:r w:rsidRPr="006E7F29">
        <w:rPr>
          <w:rFonts w:ascii="Bookman Old Style" w:hAnsi="Bookman Old Style"/>
          <w:sz w:val="20"/>
          <w:szCs w:val="20"/>
          <w:lang w:val="en-AU"/>
        </w:rPr>
        <w:tab/>
      </w:r>
      <w:r w:rsidRPr="006E7F29">
        <w:rPr>
          <w:rFonts w:ascii="Bookman Old Style" w:hAnsi="Bookman Old Style"/>
          <w:b/>
          <w:sz w:val="20"/>
          <w:szCs w:val="20"/>
          <w:lang w:val="en-AU"/>
        </w:rPr>
        <w:t>Table 1.0 - Response Priority</w:t>
      </w:r>
    </w:p>
    <w:tbl>
      <w:tblPr>
        <w:tblW w:w="460.70pt" w:type="dxa"/>
        <w:tblInd w:w="13.10pt" w:type="dxa"/>
        <w:tblLayout w:type="fixed"/>
        <w:tblCellMar>
          <w:start w:w="6pt" w:type="dxa"/>
          <w:end w:w="6pt" w:type="dxa"/>
        </w:tblCellMar>
        <w:tblLook w:firstRow="0" w:lastRow="0" w:firstColumn="0" w:lastColumn="0" w:noHBand="0" w:noVBand="0"/>
      </w:tblPr>
      <w:tblGrid>
        <w:gridCol w:w="1701"/>
        <w:gridCol w:w="1559"/>
        <w:gridCol w:w="1560"/>
        <w:gridCol w:w="1559"/>
        <w:gridCol w:w="1417"/>
        <w:gridCol w:w="1418"/>
      </w:tblGrid>
      <w:tr w:rsidR="00654B86" w:rsidRPr="006E7F29" w:rsidTr="00487D2D">
        <w:trPr>
          <w:cantSplit/>
        </w:trPr>
        <w:tc>
          <w:tcPr>
            <w:tcW w:w="85.05pt" w:type="dxa"/>
            <w:tcBorders>
              <w:top w:val="double" w:sz="6" w:space="0" w:color="auto"/>
              <w:start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Support</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Level</w:t>
            </w:r>
          </w:p>
        </w:tc>
        <w:tc>
          <w:tcPr>
            <w:tcW w:w="77.95pt" w:type="dxa"/>
            <w:tcBorders>
              <w:top w:val="double" w:sz="6" w:space="0" w:color="auto"/>
              <w:start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Business</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Critical</w:t>
            </w:r>
          </w:p>
        </w:tc>
        <w:tc>
          <w:tcPr>
            <w:tcW w:w="78pt" w:type="dxa"/>
            <w:tcBorders>
              <w:top w:val="double" w:sz="6" w:space="0" w:color="auto"/>
              <w:start w:val="sing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Business</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Critical</w:t>
            </w:r>
          </w:p>
        </w:tc>
        <w:tc>
          <w:tcPr>
            <w:tcW w:w="77.95pt" w:type="dxa"/>
            <w:tcBorders>
              <w:top w:val="double" w:sz="6" w:space="0" w:color="auto"/>
              <w:start w:val="sing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Non-</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Business</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Critical</w:t>
            </w:r>
          </w:p>
        </w:tc>
        <w:tc>
          <w:tcPr>
            <w:tcW w:w="70.85pt" w:type="dxa"/>
            <w:tcBorders>
              <w:top w:val="double" w:sz="6" w:space="0" w:color="auto"/>
              <w:start w:val="sing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Non-</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Business</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Critical</w:t>
            </w:r>
          </w:p>
        </w:tc>
        <w:tc>
          <w:tcPr>
            <w:tcW w:w="70.90pt" w:type="dxa"/>
            <w:tcBorders>
              <w:top w:val="double" w:sz="6" w:space="0" w:color="auto"/>
              <w:start w:val="single" w:sz="6" w:space="0" w:color="auto"/>
              <w:end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Request</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For</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Service</w:t>
            </w:r>
          </w:p>
        </w:tc>
      </w:tr>
      <w:tr w:rsidR="00654B86" w:rsidRPr="006E7F29" w:rsidTr="00487D2D">
        <w:trPr>
          <w:cantSplit/>
        </w:trPr>
        <w:tc>
          <w:tcPr>
            <w:tcW w:w="85.05pt" w:type="dxa"/>
            <w:tcBorders>
              <w:start w:val="double" w:sz="6" w:space="0" w:color="auto"/>
            </w:tcBorders>
          </w:tcPr>
          <w:p w:rsidR="00654B86" w:rsidRPr="006E7F29" w:rsidRDefault="00654B86" w:rsidP="00487D2D">
            <w:pPr>
              <w:rPr>
                <w:rFonts w:ascii="Bookman Old Style" w:hAnsi="Bookman Old Style"/>
                <w:sz w:val="20"/>
                <w:szCs w:val="20"/>
                <w:lang w:val="en-AU"/>
              </w:rPr>
            </w:pPr>
          </w:p>
        </w:tc>
        <w:tc>
          <w:tcPr>
            <w:tcW w:w="77.95pt" w:type="dxa"/>
            <w:tcBorders>
              <w:top w:val="single" w:sz="6" w:space="0" w:color="auto"/>
              <w:start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Fatal</w:t>
            </w:r>
          </w:p>
        </w:tc>
        <w:tc>
          <w:tcPr>
            <w:tcW w:w="78pt" w:type="dxa"/>
            <w:tcBorders>
              <w:top w:val="single" w:sz="6" w:space="0" w:color="auto"/>
              <w:start w:val="sing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Impaired</w:t>
            </w:r>
          </w:p>
        </w:tc>
        <w:tc>
          <w:tcPr>
            <w:tcW w:w="77.95pt" w:type="dxa"/>
            <w:tcBorders>
              <w:top w:val="single" w:sz="6" w:space="0" w:color="auto"/>
              <w:start w:val="sing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Fatal</w:t>
            </w:r>
          </w:p>
        </w:tc>
        <w:tc>
          <w:tcPr>
            <w:tcW w:w="70.85pt" w:type="dxa"/>
            <w:tcBorders>
              <w:top w:val="single" w:sz="6" w:space="0" w:color="auto"/>
              <w:start w:val="sing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Impaired</w:t>
            </w:r>
          </w:p>
        </w:tc>
        <w:tc>
          <w:tcPr>
            <w:tcW w:w="70.90pt" w:type="dxa"/>
            <w:tcBorders>
              <w:start w:val="single" w:sz="6" w:space="0" w:color="auto"/>
              <w:end w:val="double" w:sz="6" w:space="0" w:color="auto"/>
            </w:tcBorders>
          </w:tcPr>
          <w:p w:rsidR="00654B86" w:rsidRPr="006E7F29" w:rsidRDefault="00654B86" w:rsidP="00487D2D">
            <w:pPr>
              <w:rPr>
                <w:rFonts w:ascii="Bookman Old Style" w:hAnsi="Bookman Old Style"/>
                <w:sz w:val="20"/>
                <w:szCs w:val="20"/>
                <w:lang w:val="en-AU"/>
              </w:rPr>
            </w:pPr>
          </w:p>
        </w:tc>
      </w:tr>
      <w:tr w:rsidR="00654B86" w:rsidRPr="006E7F29" w:rsidTr="00487D2D">
        <w:trPr>
          <w:cantSplit/>
        </w:trPr>
        <w:tc>
          <w:tcPr>
            <w:tcW w:w="85.05pt" w:type="dxa"/>
            <w:tcBorders>
              <w:top w:val="double" w:sz="6" w:space="0" w:color="auto"/>
              <w:start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High</w:t>
            </w:r>
          </w:p>
        </w:tc>
        <w:tc>
          <w:tcPr>
            <w:tcW w:w="77.95pt" w:type="dxa"/>
            <w:tcBorders>
              <w:top w:val="double" w:sz="6" w:space="0" w:color="auto"/>
              <w:start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A</w:t>
            </w:r>
          </w:p>
        </w:tc>
        <w:tc>
          <w:tcPr>
            <w:tcW w:w="78pt" w:type="dxa"/>
            <w:tcBorders>
              <w:top w:val="double" w:sz="6" w:space="0" w:color="auto"/>
              <w:start w:val="sing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B</w:t>
            </w:r>
          </w:p>
        </w:tc>
        <w:tc>
          <w:tcPr>
            <w:tcW w:w="77.95pt" w:type="dxa"/>
            <w:tcBorders>
              <w:top w:val="double" w:sz="6" w:space="0" w:color="auto"/>
              <w:start w:val="sing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B</w:t>
            </w:r>
          </w:p>
        </w:tc>
        <w:tc>
          <w:tcPr>
            <w:tcW w:w="70.85pt" w:type="dxa"/>
            <w:tcBorders>
              <w:top w:val="double" w:sz="6" w:space="0" w:color="auto"/>
              <w:start w:val="sing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C</w:t>
            </w:r>
          </w:p>
        </w:tc>
        <w:tc>
          <w:tcPr>
            <w:tcW w:w="70.90pt" w:type="dxa"/>
            <w:tcBorders>
              <w:top w:val="double" w:sz="6" w:space="0" w:color="auto"/>
              <w:start w:val="single" w:sz="6" w:space="0" w:color="auto"/>
              <w:end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R</w:t>
            </w:r>
          </w:p>
        </w:tc>
      </w:tr>
      <w:tr w:rsidR="00654B86" w:rsidRPr="006E7F29" w:rsidTr="00487D2D">
        <w:trPr>
          <w:cantSplit/>
        </w:trPr>
        <w:tc>
          <w:tcPr>
            <w:tcW w:w="85.05pt" w:type="dxa"/>
            <w:tcBorders>
              <w:top w:val="single" w:sz="6" w:space="0" w:color="auto"/>
              <w:start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Medium</w:t>
            </w:r>
          </w:p>
        </w:tc>
        <w:tc>
          <w:tcPr>
            <w:tcW w:w="77.95pt" w:type="dxa"/>
            <w:tcBorders>
              <w:top w:val="single" w:sz="6" w:space="0" w:color="auto"/>
              <w:start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A</w:t>
            </w:r>
          </w:p>
        </w:tc>
        <w:tc>
          <w:tcPr>
            <w:tcW w:w="78pt" w:type="dxa"/>
            <w:tcBorders>
              <w:top w:val="single" w:sz="6" w:space="0" w:color="auto"/>
              <w:start w:val="sing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B</w:t>
            </w:r>
          </w:p>
        </w:tc>
        <w:tc>
          <w:tcPr>
            <w:tcW w:w="77.95pt" w:type="dxa"/>
            <w:tcBorders>
              <w:top w:val="single" w:sz="6" w:space="0" w:color="auto"/>
              <w:start w:val="sing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C</w:t>
            </w:r>
          </w:p>
        </w:tc>
        <w:tc>
          <w:tcPr>
            <w:tcW w:w="70.85pt" w:type="dxa"/>
            <w:tcBorders>
              <w:top w:val="single" w:sz="6" w:space="0" w:color="auto"/>
              <w:start w:val="sing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C</w:t>
            </w:r>
          </w:p>
        </w:tc>
        <w:tc>
          <w:tcPr>
            <w:tcW w:w="70.90pt" w:type="dxa"/>
            <w:tcBorders>
              <w:top w:val="single" w:sz="6" w:space="0" w:color="auto"/>
              <w:start w:val="single" w:sz="6" w:space="0" w:color="auto"/>
              <w:end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R</w:t>
            </w:r>
          </w:p>
        </w:tc>
      </w:tr>
      <w:tr w:rsidR="00654B86" w:rsidRPr="006E7F29" w:rsidTr="00487D2D">
        <w:trPr>
          <w:cantSplit/>
        </w:trPr>
        <w:tc>
          <w:tcPr>
            <w:tcW w:w="85.05pt" w:type="dxa"/>
            <w:tcBorders>
              <w:top w:val="single" w:sz="6" w:space="0" w:color="auto"/>
              <w:start w:val="double" w:sz="6" w:space="0" w:color="auto"/>
              <w:bottom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Low</w:t>
            </w:r>
          </w:p>
        </w:tc>
        <w:tc>
          <w:tcPr>
            <w:tcW w:w="77.95pt" w:type="dxa"/>
            <w:tcBorders>
              <w:top w:val="single" w:sz="6" w:space="0" w:color="auto"/>
              <w:start w:val="double" w:sz="6" w:space="0" w:color="auto"/>
              <w:bottom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B or C</w:t>
            </w:r>
          </w:p>
        </w:tc>
        <w:tc>
          <w:tcPr>
            <w:tcW w:w="78pt" w:type="dxa"/>
            <w:tcBorders>
              <w:top w:val="single" w:sz="6" w:space="0" w:color="auto"/>
              <w:start w:val="single" w:sz="6" w:space="0" w:color="auto"/>
              <w:bottom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C or D</w:t>
            </w:r>
          </w:p>
        </w:tc>
        <w:tc>
          <w:tcPr>
            <w:tcW w:w="77.95pt" w:type="dxa"/>
            <w:tcBorders>
              <w:top w:val="single" w:sz="6" w:space="0" w:color="auto"/>
              <w:start w:val="single" w:sz="6" w:space="0" w:color="auto"/>
              <w:bottom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C or D</w:t>
            </w:r>
          </w:p>
        </w:tc>
        <w:tc>
          <w:tcPr>
            <w:tcW w:w="70.85pt" w:type="dxa"/>
            <w:tcBorders>
              <w:top w:val="single" w:sz="6" w:space="0" w:color="auto"/>
              <w:start w:val="single" w:sz="6" w:space="0" w:color="auto"/>
              <w:bottom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D</w:t>
            </w:r>
          </w:p>
        </w:tc>
        <w:tc>
          <w:tcPr>
            <w:tcW w:w="70.90pt" w:type="dxa"/>
            <w:tcBorders>
              <w:top w:val="single" w:sz="6" w:space="0" w:color="auto"/>
              <w:start w:val="single" w:sz="6" w:space="0" w:color="auto"/>
              <w:bottom w:val="double" w:sz="6" w:space="0" w:color="auto"/>
              <w:end w:val="double" w:sz="6" w:space="0" w:color="auto"/>
            </w:tcBorders>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R</w:t>
            </w:r>
          </w:p>
        </w:tc>
      </w:tr>
    </w:tbl>
    <w:p w:rsidR="00654B86" w:rsidRPr="006E7F29" w:rsidRDefault="00654B86" w:rsidP="00654B86">
      <w:pPr>
        <w:rPr>
          <w:rFonts w:ascii="Bookman Old Style" w:hAnsi="Bookman Old Style"/>
          <w:spacing w:val="-2"/>
          <w:sz w:val="20"/>
          <w:szCs w:val="20"/>
          <w:lang w:val="en-AU"/>
        </w:rPr>
      </w:pPr>
    </w:p>
    <w:tbl>
      <w:tblPr>
        <w:tblW w:w="463.30pt" w:type="dxa"/>
        <w:tblInd w:w="9.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3182"/>
        <w:gridCol w:w="1123"/>
        <w:gridCol w:w="4961"/>
      </w:tblGrid>
      <w:tr w:rsidR="00654B86" w:rsidRPr="006E7F29" w:rsidTr="00487D2D">
        <w:tc>
          <w:tcPr>
            <w:tcW w:w="159.10pt" w:type="dxa"/>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Fatal</w:t>
            </w:r>
          </w:p>
        </w:tc>
        <w:tc>
          <w:tcPr>
            <w:tcW w:w="56.15pt" w:type="dxa"/>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w:t>
            </w:r>
          </w:p>
        </w:tc>
        <w:tc>
          <w:tcPr>
            <w:tcW w:w="248.05pt" w:type="dxa"/>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Total system inoperability.</w:t>
            </w:r>
          </w:p>
        </w:tc>
      </w:tr>
      <w:tr w:rsidR="00654B86" w:rsidRPr="006E7F29" w:rsidTr="00487D2D">
        <w:tc>
          <w:tcPr>
            <w:tcW w:w="159.10pt" w:type="dxa"/>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Impaired</w:t>
            </w:r>
          </w:p>
        </w:tc>
        <w:tc>
          <w:tcPr>
            <w:tcW w:w="56.15pt" w:type="dxa"/>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w:t>
            </w:r>
          </w:p>
        </w:tc>
        <w:tc>
          <w:tcPr>
            <w:tcW w:w="248.05pt" w:type="dxa"/>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Partial system inoperability.</w:t>
            </w:r>
          </w:p>
        </w:tc>
      </w:tr>
      <w:tr w:rsidR="00654B86" w:rsidRPr="006E7F29" w:rsidTr="00487D2D">
        <w:tc>
          <w:tcPr>
            <w:tcW w:w="159.10pt" w:type="dxa"/>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Business Critical</w:t>
            </w:r>
          </w:p>
        </w:tc>
        <w:tc>
          <w:tcPr>
            <w:tcW w:w="56.15pt" w:type="dxa"/>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w:t>
            </w:r>
          </w:p>
        </w:tc>
        <w:tc>
          <w:tcPr>
            <w:tcW w:w="248.05pt" w:type="dxa"/>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Unable to perform core business functions.</w:t>
            </w:r>
          </w:p>
        </w:tc>
      </w:tr>
      <w:tr w:rsidR="00654B86" w:rsidRPr="006E7F29" w:rsidTr="00487D2D">
        <w:tc>
          <w:tcPr>
            <w:tcW w:w="159.10pt" w:type="dxa"/>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Non-Business Critical</w:t>
            </w:r>
          </w:p>
        </w:tc>
        <w:tc>
          <w:tcPr>
            <w:tcW w:w="56.15pt" w:type="dxa"/>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w:t>
            </w:r>
          </w:p>
        </w:tc>
        <w:tc>
          <w:tcPr>
            <w:tcW w:w="248.05pt" w:type="dxa"/>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Able to perform limited core business functions.</w:t>
            </w:r>
          </w:p>
        </w:tc>
      </w:tr>
    </w:tbl>
    <w:p w:rsidR="00654B86" w:rsidRPr="006E7F29" w:rsidRDefault="00654B86" w:rsidP="00654B86">
      <w:pPr>
        <w:rPr>
          <w:rFonts w:ascii="Bookman Old Style" w:hAnsi="Bookman Old Style"/>
          <w:b/>
          <w:sz w:val="20"/>
          <w:szCs w:val="20"/>
          <w:lang w:val="en-AU"/>
        </w:rPr>
      </w:pPr>
      <w:bookmarkStart w:id="1" w:name="_Toc496926854"/>
      <w:bookmarkStart w:id="2" w:name="_Toc496926990"/>
      <w:bookmarkStart w:id="3" w:name="_Toc29979344"/>
      <w:bookmarkStart w:id="4" w:name="_Toc501372061"/>
      <w:r w:rsidRPr="006E7F29">
        <w:rPr>
          <w:rFonts w:ascii="Bookman Old Style" w:hAnsi="Bookman Old Style"/>
          <w:b/>
          <w:sz w:val="20"/>
          <w:szCs w:val="20"/>
          <w:lang w:val="en-AU"/>
        </w:rPr>
        <w:t>2.0 Priority Level Response Times</w:t>
      </w:r>
      <w:bookmarkEnd w:id="1"/>
      <w:bookmarkEnd w:id="2"/>
      <w:bookmarkEnd w:id="3"/>
      <w:bookmarkEnd w:id="4"/>
    </w:p>
    <w:p w:rsidR="00654B86" w:rsidRPr="006E7F29" w:rsidRDefault="00654B86" w:rsidP="00654B86">
      <w:pPr>
        <w:rPr>
          <w:rFonts w:ascii="Bookman Old Style" w:hAnsi="Bookman Old Style"/>
          <w:sz w:val="20"/>
          <w:szCs w:val="20"/>
          <w:lang w:val="en-AU"/>
        </w:rPr>
      </w:pPr>
      <w:r w:rsidRPr="006E7F29">
        <w:rPr>
          <w:rFonts w:ascii="Bookman Old Style" w:hAnsi="Bookman Old Style"/>
          <w:sz w:val="20"/>
          <w:szCs w:val="20"/>
          <w:lang w:val="en-AU"/>
        </w:rPr>
        <w:t>Table 2.0 shows the required initial response times for the individual priority ratings.  All times indicated represent response time during specified working hours of 8.00 am to 5.00 pm Monday to Friday</w:t>
      </w:r>
      <w:r w:rsidRPr="006E7F29">
        <w:rPr>
          <w:rFonts w:ascii="Bookman Old Style" w:hAnsi="Bookman Old Style"/>
          <w:i/>
          <w:sz w:val="20"/>
          <w:szCs w:val="20"/>
          <w:lang w:val="en-AU"/>
        </w:rPr>
        <w:t>.</w:t>
      </w:r>
    </w:p>
    <w:p w:rsidR="00654B86" w:rsidRPr="006E7F29" w:rsidRDefault="00654B86" w:rsidP="00654B86">
      <w:pPr>
        <w:rPr>
          <w:rFonts w:ascii="Bookman Old Style" w:hAnsi="Bookman Old Style"/>
          <w:sz w:val="20"/>
          <w:szCs w:val="20"/>
          <w:lang w:val="en-AU"/>
        </w:rPr>
      </w:pPr>
      <w:r w:rsidRPr="006E7F29">
        <w:rPr>
          <w:rFonts w:ascii="Bookman Old Style" w:hAnsi="Bookman Old Style"/>
          <w:sz w:val="20"/>
          <w:szCs w:val="20"/>
          <w:lang w:val="en-AU"/>
        </w:rPr>
        <w:t xml:space="preserve">The indicated response time represents the maximum delay between a fault/request being reported to the </w:t>
      </w:r>
      <w:r w:rsidRPr="006E7F29">
        <w:rPr>
          <w:rFonts w:ascii="Bookman Old Style" w:hAnsi="Bookman Old Style"/>
          <w:i/>
          <w:sz w:val="20"/>
          <w:szCs w:val="20"/>
          <w:lang w:val="en-AU"/>
        </w:rPr>
        <w:t>ICT Section</w:t>
      </w:r>
      <w:r w:rsidRPr="006E7F29">
        <w:rPr>
          <w:rFonts w:ascii="Bookman Old Style" w:hAnsi="Bookman Old Style"/>
          <w:sz w:val="20"/>
          <w:szCs w:val="20"/>
          <w:lang w:val="en-AU"/>
        </w:rPr>
        <w:t xml:space="preserve"> and an </w:t>
      </w:r>
      <w:r w:rsidRPr="006E7F29">
        <w:rPr>
          <w:rFonts w:ascii="Bookman Old Style" w:hAnsi="Bookman Old Style"/>
          <w:i/>
          <w:sz w:val="20"/>
          <w:szCs w:val="20"/>
          <w:lang w:val="en-AU"/>
        </w:rPr>
        <w:t xml:space="preserve">ICT Section </w:t>
      </w:r>
      <w:r w:rsidRPr="006E7F29">
        <w:rPr>
          <w:rFonts w:ascii="Bookman Old Style" w:hAnsi="Bookman Old Style"/>
          <w:sz w:val="20"/>
          <w:szCs w:val="20"/>
          <w:lang w:val="en-AU"/>
        </w:rPr>
        <w:t xml:space="preserve">representative contacting the client.  </w:t>
      </w:r>
    </w:p>
    <w:p w:rsidR="00654B86" w:rsidRPr="006E7F29" w:rsidRDefault="00654B86" w:rsidP="00654B86">
      <w:pPr>
        <w:rPr>
          <w:rFonts w:ascii="Bookman Old Style" w:hAnsi="Bookman Old Style"/>
          <w:sz w:val="20"/>
          <w:szCs w:val="20"/>
          <w:lang w:val="en-AU"/>
        </w:rPr>
      </w:pPr>
      <w:r w:rsidRPr="006E7F29">
        <w:rPr>
          <w:rFonts w:ascii="Bookman Old Style" w:hAnsi="Bookman Old Style"/>
          <w:sz w:val="20"/>
          <w:szCs w:val="20"/>
          <w:lang w:val="en-AU"/>
        </w:rPr>
        <w:lastRenderedPageBreak/>
        <w:t xml:space="preserve">The purpose of this initial contact with client by </w:t>
      </w:r>
      <w:r w:rsidRPr="006E7F29">
        <w:rPr>
          <w:rFonts w:ascii="Bookman Old Style" w:hAnsi="Bookman Old Style"/>
          <w:i/>
          <w:sz w:val="20"/>
          <w:szCs w:val="20"/>
          <w:lang w:val="en-AU"/>
        </w:rPr>
        <w:t xml:space="preserve">ICT Section </w:t>
      </w:r>
      <w:r w:rsidRPr="006E7F29">
        <w:rPr>
          <w:rFonts w:ascii="Bookman Old Style" w:hAnsi="Bookman Old Style"/>
          <w:sz w:val="20"/>
          <w:szCs w:val="20"/>
          <w:lang w:val="en-AU"/>
        </w:rPr>
        <w:t xml:space="preserve">is to notify the client of the receipt of the fault/request from </w:t>
      </w:r>
      <w:r w:rsidRPr="006E7F29">
        <w:rPr>
          <w:rFonts w:ascii="Bookman Old Style" w:hAnsi="Bookman Old Style"/>
          <w:i/>
          <w:sz w:val="20"/>
          <w:szCs w:val="20"/>
          <w:lang w:val="en-AU"/>
        </w:rPr>
        <w:t xml:space="preserve">client </w:t>
      </w:r>
      <w:r w:rsidRPr="006E7F29">
        <w:rPr>
          <w:rFonts w:ascii="Bookman Old Style" w:hAnsi="Bookman Old Style"/>
          <w:sz w:val="20"/>
          <w:szCs w:val="20"/>
          <w:lang w:val="en-AU"/>
        </w:rPr>
        <w:t>and provide the client with details of the proposed action to be taken in respect of the particular fault/request.</w:t>
      </w:r>
    </w:p>
    <w:p w:rsidR="00654B86" w:rsidRPr="006E7F29" w:rsidRDefault="00654B86" w:rsidP="00654B86">
      <w:pPr>
        <w:rPr>
          <w:rFonts w:ascii="Bookman Old Style" w:hAnsi="Bookman Old Style"/>
          <w:sz w:val="20"/>
          <w:szCs w:val="20"/>
          <w:lang w:val="en-AU"/>
        </w:rPr>
      </w:pPr>
      <w:r w:rsidRPr="006E7F29">
        <w:rPr>
          <w:rFonts w:ascii="Bookman Old Style" w:hAnsi="Bookman Old Style"/>
          <w:sz w:val="20"/>
          <w:szCs w:val="20"/>
          <w:lang w:val="en-AU"/>
        </w:rPr>
        <w:t xml:space="preserve">The </w:t>
      </w:r>
      <w:r w:rsidRPr="006E7F29">
        <w:rPr>
          <w:rFonts w:ascii="Bookman Old Style" w:hAnsi="Bookman Old Style"/>
          <w:i/>
          <w:sz w:val="20"/>
          <w:szCs w:val="20"/>
          <w:lang w:val="en-AU"/>
        </w:rPr>
        <w:t>ICT Section</w:t>
      </w:r>
      <w:r w:rsidRPr="006E7F29">
        <w:rPr>
          <w:rFonts w:ascii="Bookman Old Style" w:hAnsi="Bookman Old Style"/>
          <w:sz w:val="20"/>
          <w:szCs w:val="20"/>
          <w:lang w:val="en-AU"/>
        </w:rPr>
        <w:t xml:space="preserve"> representative must notify </w:t>
      </w:r>
      <w:r w:rsidRPr="006E7F29">
        <w:rPr>
          <w:rFonts w:ascii="Bookman Old Style" w:hAnsi="Bookman Old Style"/>
          <w:i/>
          <w:sz w:val="20"/>
          <w:szCs w:val="20"/>
          <w:lang w:val="en-AU"/>
        </w:rPr>
        <w:t>the client</w:t>
      </w:r>
      <w:r w:rsidRPr="006E7F29">
        <w:rPr>
          <w:rFonts w:ascii="Bookman Old Style" w:hAnsi="Bookman Old Style"/>
          <w:sz w:val="20"/>
          <w:szCs w:val="20"/>
          <w:lang w:val="en-AU"/>
        </w:rPr>
        <w:t xml:space="preserve"> immediately upon escalation of faults/request initially referred to </w:t>
      </w:r>
      <w:r w:rsidRPr="006E7F29">
        <w:rPr>
          <w:rFonts w:ascii="Bookman Old Style" w:hAnsi="Bookman Old Style"/>
          <w:i/>
          <w:sz w:val="20"/>
          <w:szCs w:val="20"/>
          <w:lang w:val="en-AU"/>
        </w:rPr>
        <w:t>ICT Section</w:t>
      </w:r>
      <w:r w:rsidRPr="006E7F29">
        <w:rPr>
          <w:rFonts w:ascii="Bookman Old Style" w:hAnsi="Bookman Old Style"/>
          <w:sz w:val="20"/>
          <w:szCs w:val="20"/>
          <w:lang w:val="en-AU"/>
        </w:rPr>
        <w:t xml:space="preserve"> by </w:t>
      </w:r>
      <w:r w:rsidRPr="006E7F29">
        <w:rPr>
          <w:rFonts w:ascii="Bookman Old Style" w:hAnsi="Bookman Old Style"/>
          <w:i/>
          <w:sz w:val="20"/>
          <w:szCs w:val="20"/>
          <w:lang w:val="en-AU"/>
        </w:rPr>
        <w:t>the client</w:t>
      </w:r>
      <w:r w:rsidRPr="006E7F29">
        <w:rPr>
          <w:rFonts w:ascii="Bookman Old Style" w:hAnsi="Bookman Old Style"/>
          <w:sz w:val="20"/>
          <w:szCs w:val="20"/>
          <w:lang w:val="en-AU"/>
        </w:rPr>
        <w:t xml:space="preserve">.  </w:t>
      </w:r>
    </w:p>
    <w:p w:rsidR="00654B86" w:rsidRPr="006E7F29" w:rsidRDefault="00654B86" w:rsidP="00654B86">
      <w:pPr>
        <w:rPr>
          <w:rFonts w:ascii="Bookman Old Style" w:hAnsi="Bookman Old Style"/>
          <w:sz w:val="20"/>
          <w:szCs w:val="20"/>
          <w:lang w:val="en-AU"/>
        </w:rPr>
      </w:pPr>
      <w:r w:rsidRPr="006E7F29">
        <w:rPr>
          <w:rFonts w:ascii="Bookman Old Style" w:hAnsi="Bookman Old Style"/>
          <w:sz w:val="20"/>
          <w:szCs w:val="20"/>
          <w:lang w:val="en-AU"/>
        </w:rPr>
        <w:t xml:space="preserve">Escalated faults/requests will require response to the client by </w:t>
      </w:r>
      <w:r w:rsidRPr="006E7F29">
        <w:rPr>
          <w:rFonts w:ascii="Bookman Old Style" w:hAnsi="Bookman Old Style"/>
          <w:i/>
          <w:sz w:val="20"/>
          <w:szCs w:val="20"/>
          <w:lang w:val="en-AU"/>
        </w:rPr>
        <w:t>ICT Section</w:t>
      </w:r>
      <w:r w:rsidRPr="006E7F29">
        <w:rPr>
          <w:rFonts w:ascii="Bookman Old Style" w:hAnsi="Bookman Old Style"/>
          <w:sz w:val="20"/>
          <w:szCs w:val="20"/>
          <w:lang w:val="en-AU"/>
        </w:rPr>
        <w:t xml:space="preserve"> in the same manner as for referred faults.</w:t>
      </w:r>
    </w:p>
    <w:p w:rsidR="00654B86" w:rsidRPr="006E7F29" w:rsidRDefault="00654B86" w:rsidP="00654B86">
      <w:pPr>
        <w:rPr>
          <w:rFonts w:ascii="Bookman Old Style" w:hAnsi="Bookman Old Style"/>
          <w:b/>
          <w:sz w:val="20"/>
          <w:szCs w:val="20"/>
          <w:lang w:val="en-AU"/>
        </w:rPr>
      </w:pPr>
      <w:r w:rsidRPr="006E7F29">
        <w:rPr>
          <w:rFonts w:ascii="Bookman Old Style" w:hAnsi="Bookman Old Style"/>
          <w:sz w:val="20"/>
          <w:szCs w:val="20"/>
          <w:lang w:val="en-AU"/>
        </w:rPr>
        <w:tab/>
      </w:r>
      <w:r w:rsidRPr="006E7F29">
        <w:rPr>
          <w:rFonts w:ascii="Bookman Old Style" w:hAnsi="Bookman Old Style"/>
          <w:b/>
          <w:sz w:val="20"/>
          <w:szCs w:val="20"/>
          <w:lang w:val="en-AU"/>
        </w:rPr>
        <w:t>Table 2.0 - Priority Level Response Times</w:t>
      </w:r>
    </w:p>
    <w:tbl>
      <w:tblPr>
        <w:tblW w:w="0pt" w:type="dxa"/>
        <w:jc w:val="center"/>
        <w:tblLayout w:type="fixed"/>
        <w:tblCellMar>
          <w:start w:w="1.20pt" w:type="dxa"/>
          <w:end w:w="1.20pt" w:type="dxa"/>
        </w:tblCellMar>
        <w:tblLook w:firstRow="0" w:lastRow="0" w:firstColumn="0" w:lastColumn="0" w:noHBand="0" w:noVBand="0"/>
      </w:tblPr>
      <w:tblGrid>
        <w:gridCol w:w="2110"/>
        <w:gridCol w:w="2628"/>
      </w:tblGrid>
      <w:tr w:rsidR="00654B86" w:rsidRPr="006E7F29" w:rsidTr="00487D2D">
        <w:trPr>
          <w:cantSplit/>
          <w:jc w:val="center"/>
        </w:trPr>
        <w:tc>
          <w:tcPr>
            <w:tcW w:w="105.50pt" w:type="dxa"/>
            <w:tcBorders>
              <w:top w:val="double" w:sz="6" w:space="0" w:color="auto"/>
              <w:start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Priority Level</w:t>
            </w:r>
          </w:p>
        </w:tc>
        <w:tc>
          <w:tcPr>
            <w:tcW w:w="131.40pt" w:type="dxa"/>
            <w:tcBorders>
              <w:top w:val="double" w:sz="6" w:space="0" w:color="auto"/>
              <w:start w:val="single" w:sz="6" w:space="0" w:color="auto"/>
              <w:end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Response Time</w:t>
            </w:r>
          </w:p>
        </w:tc>
      </w:tr>
      <w:tr w:rsidR="00654B86" w:rsidRPr="006E7F29" w:rsidTr="00487D2D">
        <w:trPr>
          <w:cantSplit/>
          <w:jc w:val="center"/>
        </w:trPr>
        <w:tc>
          <w:tcPr>
            <w:tcW w:w="105.50pt" w:type="dxa"/>
            <w:tcBorders>
              <w:top w:val="double" w:sz="6" w:space="0" w:color="auto"/>
              <w:start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A</w:t>
            </w:r>
          </w:p>
        </w:tc>
        <w:tc>
          <w:tcPr>
            <w:tcW w:w="131.40pt" w:type="dxa"/>
            <w:tcBorders>
              <w:top w:val="double" w:sz="6" w:space="0" w:color="auto"/>
              <w:start w:val="single" w:sz="6" w:space="0" w:color="auto"/>
              <w:end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30 Minutes</w:t>
            </w:r>
          </w:p>
        </w:tc>
      </w:tr>
      <w:tr w:rsidR="00654B86" w:rsidRPr="006E7F29" w:rsidTr="00487D2D">
        <w:trPr>
          <w:cantSplit/>
          <w:jc w:val="center"/>
        </w:trPr>
        <w:tc>
          <w:tcPr>
            <w:tcW w:w="105.50pt" w:type="dxa"/>
            <w:tcBorders>
              <w:top w:val="single" w:sz="6" w:space="0" w:color="auto"/>
              <w:start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B</w:t>
            </w:r>
          </w:p>
        </w:tc>
        <w:tc>
          <w:tcPr>
            <w:tcW w:w="131.40pt" w:type="dxa"/>
            <w:tcBorders>
              <w:top w:val="single" w:sz="6" w:space="0" w:color="auto"/>
              <w:start w:val="single" w:sz="6" w:space="0" w:color="auto"/>
              <w:end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60 Minutes</w:t>
            </w:r>
          </w:p>
        </w:tc>
      </w:tr>
      <w:tr w:rsidR="00654B86" w:rsidRPr="006E7F29" w:rsidTr="00487D2D">
        <w:trPr>
          <w:cantSplit/>
          <w:jc w:val="center"/>
        </w:trPr>
        <w:tc>
          <w:tcPr>
            <w:tcW w:w="105.50pt" w:type="dxa"/>
            <w:tcBorders>
              <w:top w:val="single" w:sz="6" w:space="0" w:color="auto"/>
              <w:start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C</w:t>
            </w:r>
          </w:p>
        </w:tc>
        <w:tc>
          <w:tcPr>
            <w:tcW w:w="131.40pt" w:type="dxa"/>
            <w:tcBorders>
              <w:top w:val="single" w:sz="6" w:space="0" w:color="auto"/>
              <w:start w:val="single" w:sz="6" w:space="0" w:color="auto"/>
              <w:end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90 Minutes</w:t>
            </w:r>
          </w:p>
        </w:tc>
      </w:tr>
      <w:tr w:rsidR="00654B86" w:rsidRPr="006E7F29" w:rsidTr="00487D2D">
        <w:trPr>
          <w:cantSplit/>
          <w:jc w:val="center"/>
        </w:trPr>
        <w:tc>
          <w:tcPr>
            <w:tcW w:w="105.50pt" w:type="dxa"/>
            <w:tcBorders>
              <w:top w:val="single" w:sz="6" w:space="0" w:color="auto"/>
              <w:start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D</w:t>
            </w:r>
          </w:p>
        </w:tc>
        <w:tc>
          <w:tcPr>
            <w:tcW w:w="131.40pt" w:type="dxa"/>
            <w:tcBorders>
              <w:top w:val="single" w:sz="6" w:space="0" w:color="auto"/>
              <w:start w:val="single" w:sz="6" w:space="0" w:color="auto"/>
              <w:end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120 Minutes</w:t>
            </w:r>
          </w:p>
        </w:tc>
      </w:tr>
      <w:tr w:rsidR="00654B86" w:rsidRPr="006E7F29" w:rsidTr="00487D2D">
        <w:trPr>
          <w:cantSplit/>
          <w:jc w:val="center"/>
        </w:trPr>
        <w:tc>
          <w:tcPr>
            <w:tcW w:w="105.50pt" w:type="dxa"/>
            <w:tcBorders>
              <w:top w:val="single" w:sz="6" w:space="0" w:color="auto"/>
              <w:start w:val="double" w:sz="6" w:space="0" w:color="auto"/>
              <w:bottom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R</w:t>
            </w:r>
          </w:p>
        </w:tc>
        <w:tc>
          <w:tcPr>
            <w:tcW w:w="131.40pt" w:type="dxa"/>
            <w:tcBorders>
              <w:top w:val="single" w:sz="6" w:space="0" w:color="auto"/>
              <w:start w:val="single" w:sz="6" w:space="0" w:color="auto"/>
              <w:bottom w:val="double" w:sz="6" w:space="0" w:color="auto"/>
              <w:end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90 Minutes</w:t>
            </w:r>
          </w:p>
        </w:tc>
      </w:tr>
    </w:tbl>
    <w:p w:rsidR="00654B86" w:rsidRPr="006E7F29" w:rsidRDefault="00654B86" w:rsidP="00654B86">
      <w:pPr>
        <w:rPr>
          <w:rFonts w:ascii="Bookman Old Style" w:hAnsi="Bookman Old Style"/>
          <w:b/>
          <w:sz w:val="20"/>
          <w:szCs w:val="20"/>
          <w:lang w:val="en-AU"/>
        </w:rPr>
      </w:pPr>
      <w:bookmarkStart w:id="5" w:name="_Toc496926855"/>
      <w:bookmarkStart w:id="6" w:name="_Toc496926991"/>
      <w:bookmarkStart w:id="7" w:name="_Toc29979345"/>
      <w:bookmarkStart w:id="8" w:name="_Toc501372062"/>
      <w:r w:rsidRPr="006E7F29">
        <w:rPr>
          <w:rFonts w:ascii="Bookman Old Style" w:hAnsi="Bookman Old Style"/>
          <w:b/>
          <w:sz w:val="20"/>
          <w:szCs w:val="20"/>
          <w:lang w:val="en-AU"/>
        </w:rPr>
        <w:t>3.0 Support Available</w:t>
      </w:r>
      <w:bookmarkEnd w:id="5"/>
      <w:bookmarkEnd w:id="6"/>
      <w:bookmarkEnd w:id="7"/>
      <w:bookmarkEnd w:id="8"/>
    </w:p>
    <w:p w:rsidR="00654B86" w:rsidRPr="006E7F29" w:rsidRDefault="00654B86" w:rsidP="00654B86">
      <w:pPr>
        <w:rPr>
          <w:rFonts w:ascii="Bookman Old Style" w:hAnsi="Bookman Old Style"/>
          <w:sz w:val="20"/>
          <w:szCs w:val="20"/>
          <w:lang w:val="en-AU"/>
        </w:rPr>
      </w:pPr>
      <w:r w:rsidRPr="006E7F29">
        <w:rPr>
          <w:rFonts w:ascii="Bookman Old Style" w:hAnsi="Bookman Old Style"/>
          <w:sz w:val="20"/>
          <w:szCs w:val="20"/>
          <w:lang w:val="en-AU"/>
        </w:rPr>
        <w:t xml:space="preserve">This table shows the support available for each support level,  </w:t>
      </w:r>
    </w:p>
    <w:p w:rsidR="00654B86" w:rsidRPr="006E7F29" w:rsidRDefault="00654B86" w:rsidP="00654B86">
      <w:pPr>
        <w:rPr>
          <w:rFonts w:ascii="Bookman Old Style" w:hAnsi="Bookman Old Style"/>
          <w:b/>
          <w:sz w:val="20"/>
          <w:szCs w:val="20"/>
          <w:lang w:val="en-AU"/>
        </w:rPr>
      </w:pPr>
      <w:r w:rsidRPr="006E7F29">
        <w:rPr>
          <w:rFonts w:ascii="Bookman Old Style" w:hAnsi="Bookman Old Style"/>
          <w:sz w:val="20"/>
          <w:szCs w:val="20"/>
          <w:lang w:val="en-AU"/>
        </w:rPr>
        <w:tab/>
      </w:r>
      <w:r w:rsidRPr="006E7F29">
        <w:rPr>
          <w:rFonts w:ascii="Bookman Old Style" w:hAnsi="Bookman Old Style"/>
          <w:b/>
          <w:sz w:val="20"/>
          <w:szCs w:val="20"/>
          <w:lang w:val="en-AU"/>
        </w:rPr>
        <w:t>Table 3.0 - Support Available</w:t>
      </w:r>
    </w:p>
    <w:tbl>
      <w:tblPr>
        <w:tblW w:w="446.50pt" w:type="dxa"/>
        <w:tblInd w:w="8.30pt" w:type="dxa"/>
        <w:tblLayout w:type="fixed"/>
        <w:tblCellMar>
          <w:start w:w="1.20pt" w:type="dxa"/>
          <w:end w:w="1.20pt" w:type="dxa"/>
        </w:tblCellMar>
        <w:tblLook w:firstRow="0" w:lastRow="0" w:firstColumn="0" w:lastColumn="0" w:noHBand="0" w:noVBand="0"/>
      </w:tblPr>
      <w:tblGrid>
        <w:gridCol w:w="2977"/>
        <w:gridCol w:w="5953"/>
      </w:tblGrid>
      <w:tr w:rsidR="00654B86" w:rsidRPr="006E7F29" w:rsidTr="00487D2D">
        <w:tc>
          <w:tcPr>
            <w:tcW w:w="148.85pt" w:type="dxa"/>
            <w:tcBorders>
              <w:top w:val="double" w:sz="6" w:space="0" w:color="auto"/>
              <w:start w:val="double" w:sz="6" w:space="0" w:color="auto"/>
              <w:bottom w:val="double" w:sz="6" w:space="0" w:color="auto"/>
            </w:tcBorders>
            <w:shd w:val="clear" w:color="auto" w:fill="F3F3F3"/>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Support Level</w:t>
            </w:r>
          </w:p>
        </w:tc>
        <w:tc>
          <w:tcPr>
            <w:tcW w:w="297.65pt" w:type="dxa"/>
            <w:tcBorders>
              <w:top w:val="double" w:sz="6" w:space="0" w:color="auto"/>
              <w:start w:val="single" w:sz="6" w:space="0" w:color="auto"/>
              <w:bottom w:val="double" w:sz="6" w:space="0" w:color="auto"/>
              <w:end w:val="double" w:sz="6" w:space="0" w:color="auto"/>
            </w:tcBorders>
            <w:shd w:val="clear" w:color="auto" w:fill="F3F3F3"/>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Support Available</w:t>
            </w:r>
          </w:p>
        </w:tc>
      </w:tr>
      <w:tr w:rsidR="00654B86" w:rsidRPr="006E7F29" w:rsidTr="00487D2D">
        <w:tc>
          <w:tcPr>
            <w:tcW w:w="148.85pt" w:type="dxa"/>
            <w:tcBorders>
              <w:top w:val="double" w:sz="6" w:space="0" w:color="auto"/>
              <w:start w:val="double" w:sz="6" w:space="0" w:color="auto"/>
            </w:tcBorders>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Recommended</w:t>
            </w:r>
          </w:p>
        </w:tc>
        <w:tc>
          <w:tcPr>
            <w:tcW w:w="297.65pt" w:type="dxa"/>
            <w:tcBorders>
              <w:top w:val="double" w:sz="6" w:space="0" w:color="auto"/>
              <w:start w:val="single" w:sz="6" w:space="0" w:color="auto"/>
              <w:end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Full Internal Support Available</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Internally Conducted Training Courses Available</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High Priority</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External Support/Training Available</w:t>
            </w:r>
          </w:p>
        </w:tc>
      </w:tr>
      <w:tr w:rsidR="00654B86" w:rsidRPr="006E7F29" w:rsidTr="00487D2D">
        <w:tc>
          <w:tcPr>
            <w:tcW w:w="148.85pt" w:type="dxa"/>
            <w:tcBorders>
              <w:top w:val="single" w:sz="6" w:space="0" w:color="auto"/>
              <w:start w:val="double" w:sz="6" w:space="0" w:color="auto"/>
            </w:tcBorders>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Supported</w:t>
            </w:r>
          </w:p>
        </w:tc>
        <w:tc>
          <w:tcPr>
            <w:tcW w:w="297.65pt" w:type="dxa"/>
            <w:tcBorders>
              <w:top w:val="single" w:sz="6" w:space="0" w:color="auto"/>
              <w:start w:val="single" w:sz="6" w:space="0" w:color="auto"/>
              <w:end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Full Internal Support Usually Available</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No Internally Conducted Training Available</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Medium Priority</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External Support/Training Available</w:t>
            </w:r>
          </w:p>
        </w:tc>
      </w:tr>
      <w:tr w:rsidR="00654B86" w:rsidRPr="006E7F29" w:rsidTr="00487D2D">
        <w:tc>
          <w:tcPr>
            <w:tcW w:w="148.85pt" w:type="dxa"/>
            <w:tcBorders>
              <w:top w:val="single" w:sz="6" w:space="0" w:color="auto"/>
              <w:start w:val="double" w:sz="6" w:space="0" w:color="auto"/>
            </w:tcBorders>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t>Acknowledged</w:t>
            </w:r>
          </w:p>
        </w:tc>
        <w:tc>
          <w:tcPr>
            <w:tcW w:w="297.65pt" w:type="dxa"/>
            <w:tcBorders>
              <w:top w:val="single" w:sz="6" w:space="0" w:color="auto"/>
              <w:start w:val="single" w:sz="6" w:space="0" w:color="auto"/>
              <w:end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Limited Internal Support Available</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No Internally Conducted Training Available</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lastRenderedPageBreak/>
              <w:t>Low Priority</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External Support/Training Available</w:t>
            </w:r>
          </w:p>
        </w:tc>
      </w:tr>
      <w:tr w:rsidR="00654B86" w:rsidRPr="006E7F29" w:rsidTr="00487D2D">
        <w:tc>
          <w:tcPr>
            <w:tcW w:w="148.85pt" w:type="dxa"/>
            <w:tcBorders>
              <w:top w:val="single" w:sz="6" w:space="0" w:color="auto"/>
              <w:start w:val="double" w:sz="6" w:space="0" w:color="auto"/>
              <w:bottom w:val="double" w:sz="6" w:space="0" w:color="auto"/>
            </w:tcBorders>
          </w:tcPr>
          <w:p w:rsidR="00654B86" w:rsidRPr="006E7F29" w:rsidRDefault="00654B86" w:rsidP="00487D2D">
            <w:pPr>
              <w:rPr>
                <w:rFonts w:ascii="Bookman Old Style" w:hAnsi="Bookman Old Style"/>
                <w:spacing w:val="-2"/>
                <w:sz w:val="20"/>
                <w:szCs w:val="20"/>
                <w:lang w:val="en-AU"/>
              </w:rPr>
            </w:pPr>
            <w:r w:rsidRPr="006E7F29">
              <w:rPr>
                <w:rFonts w:ascii="Bookman Old Style" w:hAnsi="Bookman Old Style"/>
                <w:spacing w:val="-2"/>
                <w:sz w:val="20"/>
                <w:szCs w:val="20"/>
                <w:lang w:val="en-AU"/>
              </w:rPr>
              <w:lastRenderedPageBreak/>
              <w:t>Discouraged</w:t>
            </w:r>
          </w:p>
        </w:tc>
        <w:tc>
          <w:tcPr>
            <w:tcW w:w="297.65pt" w:type="dxa"/>
            <w:tcBorders>
              <w:top w:val="single" w:sz="6" w:space="0" w:color="auto"/>
              <w:start w:val="single" w:sz="6" w:space="0" w:color="auto"/>
              <w:bottom w:val="double" w:sz="6" w:space="0" w:color="auto"/>
              <w:end w:val="double" w:sz="6" w:space="0" w:color="auto"/>
            </w:tcBorders>
          </w:tcPr>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Product Not Recommended</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No Internally Conducted Training Available</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No Internal Support Available</w:t>
            </w:r>
          </w:p>
          <w:p w:rsidR="00654B86" w:rsidRPr="006E7F29" w:rsidRDefault="00654B86" w:rsidP="00487D2D">
            <w:pPr>
              <w:rPr>
                <w:rFonts w:ascii="Bookman Old Style" w:hAnsi="Bookman Old Style"/>
                <w:sz w:val="20"/>
                <w:szCs w:val="20"/>
                <w:lang w:val="en-AU"/>
              </w:rPr>
            </w:pPr>
            <w:r w:rsidRPr="006E7F29">
              <w:rPr>
                <w:rFonts w:ascii="Bookman Old Style" w:hAnsi="Bookman Old Style"/>
                <w:sz w:val="20"/>
                <w:szCs w:val="20"/>
                <w:lang w:val="en-AU"/>
              </w:rPr>
              <w:t>External Support/Training Available</w:t>
            </w:r>
          </w:p>
        </w:tc>
      </w:tr>
    </w:tbl>
    <w:p w:rsidR="00654B86" w:rsidRPr="006E7F29" w:rsidRDefault="00654B86" w:rsidP="00654B86">
      <w:pPr>
        <w:rPr>
          <w:rFonts w:ascii="Bookman Old Style" w:eastAsia="Calibri" w:hAnsi="Bookman Old Style"/>
          <w:sz w:val="20"/>
          <w:szCs w:val="20"/>
        </w:rPr>
      </w:pPr>
    </w:p>
    <w:p w:rsidR="00654B86" w:rsidRPr="006E7F29" w:rsidRDefault="00654B86" w:rsidP="00654B86">
      <w:pPr>
        <w:rPr>
          <w:rFonts w:ascii="Bookman Old Style" w:eastAsia="Calibri" w:hAnsi="Bookman Old Style"/>
          <w:sz w:val="20"/>
          <w:szCs w:val="20"/>
        </w:rPr>
      </w:pPr>
      <w:r w:rsidRPr="006E7F29">
        <w:rPr>
          <w:rFonts w:ascii="Bookman Old Style" w:eastAsia="Calibri" w:hAnsi="Bookman Old Style"/>
          <w:sz w:val="20"/>
          <w:szCs w:val="20"/>
        </w:rPr>
        <w:t xml:space="preserve"> </w:t>
      </w:r>
    </w:p>
    <w:p w:rsidR="00654B86" w:rsidRPr="006E7F29" w:rsidRDefault="00654B86" w:rsidP="00654B86">
      <w:pPr>
        <w:rPr>
          <w:rFonts w:ascii="Bookman Old Style" w:eastAsia="Calibri" w:hAnsi="Bookman Old Style"/>
          <w:sz w:val="20"/>
          <w:szCs w:val="20"/>
        </w:rPr>
      </w:pPr>
      <w:r w:rsidRPr="006E7F29">
        <w:rPr>
          <w:rFonts w:ascii="Bookman Old Style" w:eastAsia="Calibri" w:hAnsi="Bookman Old Style"/>
          <w:sz w:val="20"/>
          <w:szCs w:val="20"/>
        </w:rPr>
        <w:t>For more information Please contact the ICT Section on:</w:t>
      </w:r>
    </w:p>
    <w:p w:rsidR="00654B86" w:rsidRPr="006E7F29" w:rsidRDefault="00654B86" w:rsidP="00654B86">
      <w:pPr>
        <w:rPr>
          <w:rFonts w:ascii="Bookman Old Style" w:eastAsia="Calibri" w:hAnsi="Bookman Old Style"/>
          <w:sz w:val="20"/>
          <w:szCs w:val="20"/>
        </w:rPr>
      </w:pPr>
      <w:r w:rsidRPr="006E7F29">
        <w:rPr>
          <w:rFonts w:ascii="Bookman Old Style" w:eastAsia="Calibri" w:hAnsi="Bookman Old Style"/>
          <w:sz w:val="20"/>
          <w:szCs w:val="20"/>
        </w:rPr>
        <w:t>Email: ict@kefri.org</w:t>
      </w:r>
    </w:p>
    <w:p w:rsidR="006E07CC" w:rsidRDefault="002E7C49" w:rsidP="00654B86"/>
    <w:sectPr w:rsidR="006E07CC">
      <w:pgSz w:w="612pt" w:h="792pt"/>
      <w:pgMar w:top="72pt" w:right="72pt" w:bottom="72pt" w:left="72pt" w:header="36pt" w:footer="36pt" w:gutter="0pt"/>
      <w:cols w:space="36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alibri">
    <w:panose1 w:val="020F0502020204030204"/>
    <w:charset w:characterSet="iso-8859-1"/>
    <w:family w:val="swiss"/>
    <w:pitch w:val="variable"/>
    <w:sig w:usb0="E0002A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Bookman Old Style">
    <w:panose1 w:val="02050604050505020204"/>
    <w:charset w:characterSet="iso-8859-1"/>
    <w:family w:val="roman"/>
    <w:pitch w:val="variable"/>
    <w:sig w:usb0="00000287" w:usb1="00000000" w:usb2="00000000" w:usb3="00000000" w:csb0="0000009F" w:csb1="00000000"/>
  </w:font>
  <w:font w:name="Calibri Light">
    <w:panose1 w:val="020F0302020204030204"/>
    <w:charset w:characterSet="iso-8859-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spelling="clean" w:grammar="clean"/>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86"/>
    <w:rsid w:val="002E7C49"/>
    <w:rsid w:val="003C7BAD"/>
    <w:rsid w:val="00654B86"/>
    <w:rsid w:val="00C6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837F21D-1C0E-4EB9-9092-05AA5BDB715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B86"/>
    <w:pPr>
      <w:spacing w:after="10pt" w:line="13.80pt"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B86"/>
    <w:pPr>
      <w:tabs>
        <w:tab w:val="center" w:pos="234pt"/>
        <w:tab w:val="end" w:pos="468pt"/>
      </w:tabs>
    </w:pPr>
    <w:rPr>
      <w:lang w:val="x-none" w:eastAsia="x-none"/>
    </w:rPr>
  </w:style>
  <w:style w:type="character" w:customStyle="1" w:styleId="HeaderChar">
    <w:name w:val="Header Char"/>
    <w:basedOn w:val="DefaultParagraphFont"/>
    <w:link w:val="Header"/>
    <w:uiPriority w:val="99"/>
    <w:rsid w:val="00654B86"/>
    <w:rPr>
      <w:rFonts w:ascii="Calibri" w:eastAsia="Times New Roman" w:hAnsi="Calibri" w:cs="Times New Roman"/>
      <w:lang w:val="x-none" w:eastAsia="x-non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6" Type="http://purl.oclc.org/ooxml/officeDocument/relationships/theme" Target="theme/theme1.xml"/><Relationship Id="rId5" Type="http://purl.oclc.org/ooxml/officeDocument/relationships/fontTable" Target="fontTable.xml"/><Relationship Id="rId4"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4</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dc:creator>
  <cp:keywords/>
  <dc:description/>
  <cp:lastModifiedBy>victor jaoko</cp:lastModifiedBy>
  <cp:revision>3</cp:revision>
  <dcterms:created xsi:type="dcterms:W3CDTF">2018-03-28T11:18:00Z</dcterms:created>
  <dcterms:modified xsi:type="dcterms:W3CDTF">2018-04-02T10:44:00Z</dcterms:modified>
</cp:coreProperties>
</file>